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11 vom 6. August 2025</w:t>
      </w:r>
    </w:p>
    <w:p>
      <w:r>
        <w:t>GR Gerichte, 2025-08-06, DE</w:t>
      </w:r>
    </w:p>
    <w:p>
      <w:r>
        <w:rPr>
          <w:b/>
        </w:rPr>
        <w:t xml:space="preserve">Quelle: </w:t>
      </w:r>
      <w:r>
        <w:t>https://mcp.opencaselaw.ch/entscheid/gr_gerichte_PVG 2024 11</w:t>
      </w:r>
    </w:p>
    <w:p>
      <w:r>
        <w:t>FR: GR_GERICHTE PVG 2024 11 du 6 août 2025</w:t>
      </w:r>
    </w:p>
    <w:p>
      <w:r>
        <w:t>IT: GR_GERICHTE PVG 2024 11 del 6 agosto 2025</w:t>
      </w:r>
    </w:p>
    <w:p>
      <w:pPr>
        <w:pStyle w:val="Heading2"/>
      </w:pPr>
      <w:r>
        <w:t>Erwägungen</w:t>
      </w:r>
    </w:p>
    <w:p>
      <w:r>
        <w:rPr>
          <w:b/>
        </w:rPr>
        <w:t>E. 1</w:t>
      </w:r>
    </w:p>
    <w:p>
      <w:r>
        <w:t>Raumordnung und Umweltschutz</w:t>
      </w:r>
    </w:p>
    <w:p>
      <w:r>
        <w:rPr>
          <w:b/>
        </w:rPr>
        <w:t>E. 5</w:t>
      </w:r>
    </w:p>
    <w:p>
      <w:r>
        <w:t>in der Wohnzone geltende Gebäudehöhe von 7.50 m nicht überschreiten. In den einzelnen Teilbereichen resultiert durch das Bauprojekt prima facie keine Verstärkung der Rechtswidrigkeit. Rechtsprechungsgemäss ist eine vertikale oder eine horizontale Abweichung zulässig. Da – wie im vorliegenden Fall – drei Teilbereiche in ihrer Kumulation eine nicht zu vernachlässigende Gesamtwirkung zeitigen, sind weitere Kriterien zur Konkretisierung der sinnvollen Weiterentwicklung zu erörtern. 4.6.4. Das Gebot der sinnvollen Weiterentwicklung einer bestehenden Baute im Rahmen der Besitzstandsgarantie beschränkt sich nach Auffassung des Verwaltungsgerichts nicht nur auf die Einhaltung des aktuellen zahlenmässigen Besitzstandes; es ist vielmehr eine Gesamtwürdigung sämtlicher Aspekte vorzunehmen, um zwischen zulässiger Umbaute/Erweiterung und unzulässiger Neubaute unterscheiden zu können, insbesondere wenn, wie vorliegend, nicht nur ein Teilbereich betroffen ist. Für die eingehende Prüfung des Gebots der sinnvollen Weiterentwicklung sind demnach die Kriterien zur Abgrenzung der unzulässigen Verstärkung der Regelwidrigkeit mit (nicht abschliessenden) Unterkriterien im Rahmen der Einzelfallbeurteilung zu verfeinern. Es ist mithin die Trennlinie zwischen den noch zulässigen Umbauten und der nicht mehr zulässigen neubauähnlichen Umgestaltung zu finden (vgl. auch VGU R 07 103 vom 11. April 2008 E.4). 4.6.4.1. Zum einen ist das Kriterium des Erweiterungsmasses heranzuziehen. Da das Mass des Erlaubten keine absolute Grösse darstellt, sondern sich am Bestehenden misst, dürfen Erweiterungen bei einer grösseren Baute folgerichtig etwas umfangreicher ausfallen als bei einem kleineren Gebäude. Die Grenze des Zulässigen ist jedoch auf jeden Fall dort zu ziehen, wo die geplanten Neuerungen die Gestalt des ursprünglichen Gebäudes nicht mehr erkennen lassen, so dass dieses seine Identität verlöre (WILLI, a.a.O, S. 103 f.). Ins gleiche Kerbholz schlägt das Bundesgericht mit dem wegweisenden Urteil 1C_478/2019, 1C_479/2019 vom 8. Mai 2020 E.5.2.3 f. (betr. Urteil des Verwaltungsgerichts [VGU] R 18 18): "In der Botschaft zum ZWG (BBl 2014 2287 ff., S. 2310) führte der Bundesrat aus, altrechtliche Wohnungen dürften erneuert, umgebaut und – gegebenenfalls mit einer geringfügigen Standortverschiebung – wieder aufgebaut werden. Diese Einschränkung beruht auf der Überlegung, dass Art. 11 ZWG an den altrechtlichen Besitzstand anknüpft: Es dürfen keine neuen Zweitwohnungen errichtet werden, sondern lediglich bereits bestehende altrechtliche Wohnungen abgebrochen und wiederaufgebaut werden. Die Identität der Baute muss daher im Wesentlichen gewahrt bleiben. Ob dies der Fall ist, ist unter Würdigung der gesamten Umstände zu beurteilen, zu denen insbesondere auch der Standort zählt." Im vorliegenden Fall bleibt die Identität der Baute bezüglich des Standorts und des Fussabdrucks bestehen. Wie hiervor ausgeführt verstärken die Erweiterungen nach Süden und in die Höhe nicht die Rechtswidrigkeit, weshalb die</w:t>
      </w:r>
    </w:p>
    <w:p>
      <w:r>
        <w:t>PVG 5/11</w:t>
      </w:r>
    </w:p>
    <w:p>
      <w:r>
        <w:rPr>
          <w:b/>
        </w:rPr>
        <w:t>E. 6</w:t>
      </w:r>
    </w:p>
    <w:p>
      <w:r>
        <w:t>einzelnen Erweiterungen abstrakt und unabhängig voneinander an und für sich als massvoll zu qualifizieren sind. 4.6.4.2. Weiter gilt es das Kriterium der inneren Einteilung und Organisation oder Konstruktion der Baute heranzuziehen. Für die Abgrenzung zulässiger Umbauten zu unzulässigen Neubauten dürfte von entscheidender Bedeutung sein, ob das Bestehende oder zumindest wesentliche Teile in der inneren Einteilung und in der Organisation oder Konstruktion des Gebäudes noch zu erkennen sind. Dies ist klarerweise dort zu verneinen, wo die bestehende Bausubstanz weitreichend durch neue ersetzt werden soll und nur der Anschein der Kontinuität erweckt wird. Als Faustregel soll gelten, dass bei Umbauten das zulässige Mass noch nicht überschritten ist, wenn die Konstruktion der Baute mit den Aussenmauern, den wesentlichen inneren Mauern und der Decken- und Dachkonstruktion mehrheitlich erhalten bleibt und auch die innere Einteilung und Organisation der Baute nicht grundlegend verändert wird (WILLI, a.a.O, S. 102). Dass im OG an der Nordfassade viele rote (=neue) Mauern eingezeichnet sind, resultiert daraus, dass die bestehende Nordfassade zur Hälfte nicht aus Mauerwerk besteht (vgl. Plan Erdgeschoss und Obergeschoss HNF Neu [Bg1-act. 2/5] und Foto Fassade Nordwest [Bg1-act. 2/10]). Im EG bleibt an der Westfassade mehr als die Hälfte der bisherigen Mauern bestehen und im OG auch ein überwiegender Teil (vgl. Plan EG und OG HNF Bestand [Bg1-act. 2/4] mit Plan EG und OG HNF neu [Bg1-act. 2/5]). Es bleibt jedoch keine einzige der drei genannten Aussenmauern in der Form bestehen, wie sie heute ist. Auch im Inneren bleibt keine einzige Mauer bestehen. Selbst wenn die beiden 3.5- Zimmerwohnungen im Sinne der Raumnutzung bestehen bleiben und den heutigen Wohnanforderungen angepasst werden (was grundsätzlich nicht zu beanstanden ist), so fällt insbesondere im EG auf, welches bis dato über einen Schutzraum verfügt, dass das Geschoss mit weiteren Räumen, wie Keller und Waschküche/Trockenraum, ergänzt werden soll, die heute so gar nie Bestandteil des EG waren. Damit erfährt dieses Geschoss eine grundlegende innere Reorganisation und dient nicht mehr ausschliesslich Wohnzwecken. Vorliegend zeigt die Visualisierung der geplanten Baute eine völlig neue Konstruktion. Insbesondere das gesamte Dach wird ersetzt und weitreichend mittig mit einer Überdachung, deren Giebel quer zum Dachgiebel steht, zwecks Deckung des Balkons im OG erweitert. Zudem soll das OG eine lichte Höhe über der Normgeschosshöhe von 2.40 m aufweisen, was ebenfalls eine grundlegende Änderung in der Konstruktion darstellt. Zudem erscheint das geplante OG mit dieser Konstruktionsänderung im Vergleich zum EG, bei welchem die bisherige Raumhöhe beibehalten wird, wuchtig, was bei der bestehenden Konstruktion eben nicht der Fall ist. Die heutige Baute zeichnet sich dadurch aus, dass die Fassade an der Südseite des EG weiss verputzt ist und das OG mit seiner Holzverkleidung im Gegensatz dazu</w:t>
      </w:r>
    </w:p>
    <w:p>
      <w:r>
        <w:t>PVG 5/11</w:t>
      </w:r>
    </w:p>
    <w:p>
      <w:r>
        <w:rPr>
          <w:b/>
        </w:rPr>
        <w:t>E. 7</w:t>
      </w:r>
    </w:p>
    <w:p>
      <w:r>
        <w:t>eher unauffällig erscheint. Es besteht schlussfolgernd weder äusserlich noch im Innern eine Kontinuität der bestehenden Konstruktion, die sich im Umbau resp. in der Erweiterung wiederspiegeln würde, weshalb das geplante Bauprojekt nicht mehr als sinnvolle Weiterentwicklung der Bausubstanz, sondern als Neubau zu qualifizieren ist. 4.6.4.3. Schliesslich gilt es das Kriterium Schutz der Investitionen zu prüfen. Das Argument des Beschwerdeführers 2 bezüglich Erhalt und Schutz der getätigten Investitionen ergibt sich ebenfalls aus der Zürcher Praxis (vgl. statt vieler: Urteil des Verwaltungsgerichts des Kantons Zürich VB.2022.00044 vom 1. Juni 2022). Die Prüfung dieses Kriteriums entfällt aber infolge der Schlussfolgerung hiervor. Selbst wenn die Kriterien hiervor bejaht würden, würde der geplante Bau nicht bloss die bestehende Baute vor dem Eintritt der Unbenutzbarkeit vor Ablauf der Lebensdauer in ihrer Substanz schützen, sondern Investitionen vergleichbar wie bei einem Neubau von CHF 1'516'900.00 (vgl. Baugesuch S. 2 [Bg1-act. 1]) auslösen, was ebenfalls den Sinn und Zweck der Besitzstandsgarantie über Gebühr strapaziert. Auch aufgrund dieses Kriteriums ist die geplante Baute aufgrund der Perpetuierung des rechtswidrigen Zustandes als unzulässige Neubaute zu qualifizieren. R 23 83 und R 23 86 Urteil vom 26.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